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EB" w:rsidRDefault="00F925EB" w:rsidP="00CE4D97">
      <w:pPr>
        <w:spacing w:after="0" w:line="240" w:lineRule="auto"/>
        <w:jc w:val="center"/>
        <w:rPr>
          <w:rFonts w:eastAsia="Times New Roman" w:cs="Times New Roman"/>
          <w:b/>
          <w:bCs/>
          <w:szCs w:val="24"/>
          <w:lang w:eastAsia="es-CO"/>
        </w:rPr>
      </w:pPr>
    </w:p>
    <w:p w:rsidR="00F925EB" w:rsidRDefault="00F925EB" w:rsidP="00F925EB">
      <w:pPr>
        <w:spacing w:after="0" w:line="240" w:lineRule="auto"/>
        <w:jc w:val="both"/>
        <w:rPr>
          <w:rFonts w:eastAsia="Times New Roman" w:cs="Times New Roman"/>
          <w:b/>
          <w:bCs/>
          <w:szCs w:val="24"/>
          <w:lang w:eastAsia="es-CO"/>
        </w:rPr>
      </w:pPr>
    </w:p>
    <w:p w:rsidR="00F925EB" w:rsidRDefault="00F925EB" w:rsidP="00F925EB">
      <w:pPr>
        <w:spacing w:after="0" w:line="240" w:lineRule="auto"/>
        <w:jc w:val="both"/>
        <w:rPr>
          <w:rFonts w:eastAsia="Times New Roman" w:cs="Times New Roman"/>
          <w:b/>
          <w:bCs/>
          <w:szCs w:val="24"/>
          <w:lang w:eastAsia="es-CO"/>
        </w:rPr>
      </w:pPr>
      <w:r>
        <w:rPr>
          <w:rFonts w:eastAsia="Times New Roman" w:cs="Times New Roman"/>
          <w:b/>
          <w:bCs/>
          <w:szCs w:val="24"/>
          <w:lang w:eastAsia="es-CO"/>
        </w:rPr>
        <w:t xml:space="preserve">CONCEPTO SOBRE RETIROS DE FONDOS EN CUENTAS AFC: </w:t>
      </w:r>
    </w:p>
    <w:p w:rsidR="00F925EB" w:rsidRDefault="00F925EB" w:rsidP="00CE4D97">
      <w:pPr>
        <w:spacing w:after="0" w:line="240" w:lineRule="auto"/>
        <w:jc w:val="center"/>
        <w:rPr>
          <w:rFonts w:eastAsia="Times New Roman" w:cs="Times New Roman"/>
          <w:b/>
          <w:bCs/>
          <w:szCs w:val="24"/>
          <w:lang w:eastAsia="es-CO"/>
        </w:rPr>
      </w:pPr>
    </w:p>
    <w:p w:rsidR="00F925EB" w:rsidRDefault="00F925EB" w:rsidP="00CE4D97">
      <w:pPr>
        <w:spacing w:after="0" w:line="240" w:lineRule="auto"/>
        <w:jc w:val="center"/>
        <w:rPr>
          <w:rFonts w:eastAsia="Times New Roman" w:cs="Times New Roman"/>
          <w:b/>
          <w:bCs/>
          <w:szCs w:val="24"/>
          <w:lang w:eastAsia="es-CO"/>
        </w:rPr>
      </w:pPr>
    </w:p>
    <w:p w:rsidR="00CE4D97" w:rsidRPr="00BB7099" w:rsidRDefault="00CE4D97" w:rsidP="00CE4D97">
      <w:pPr>
        <w:spacing w:after="0" w:line="240" w:lineRule="auto"/>
        <w:jc w:val="center"/>
        <w:rPr>
          <w:rFonts w:eastAsia="Times New Roman" w:cs="Times New Roman"/>
          <w:szCs w:val="24"/>
          <w:lang w:eastAsia="es-CO"/>
        </w:rPr>
      </w:pPr>
      <w:bookmarkStart w:id="0" w:name="_GoBack"/>
      <w:bookmarkEnd w:id="0"/>
      <w:r w:rsidRPr="00BB7099">
        <w:rPr>
          <w:rFonts w:eastAsia="Times New Roman" w:cs="Times New Roman"/>
          <w:b/>
          <w:bCs/>
          <w:szCs w:val="24"/>
          <w:lang w:eastAsia="es-CO"/>
        </w:rPr>
        <w:t>OFICIO Nº 012354</w:t>
      </w:r>
    </w:p>
    <w:p w:rsidR="00CE4D97" w:rsidRPr="00BB7099" w:rsidRDefault="00CE4D97" w:rsidP="00CE4D97">
      <w:pPr>
        <w:spacing w:after="0" w:line="240" w:lineRule="auto"/>
        <w:jc w:val="center"/>
        <w:rPr>
          <w:rFonts w:eastAsia="Times New Roman" w:cs="Times New Roman"/>
          <w:szCs w:val="24"/>
          <w:lang w:eastAsia="es-CO"/>
        </w:rPr>
      </w:pPr>
      <w:r w:rsidRPr="00BB7099">
        <w:rPr>
          <w:rFonts w:eastAsia="Times New Roman" w:cs="Times New Roman"/>
          <w:b/>
          <w:bCs/>
          <w:szCs w:val="24"/>
          <w:lang w:eastAsia="es-CO"/>
        </w:rPr>
        <w:t>19-05-2016</w:t>
      </w:r>
    </w:p>
    <w:p w:rsidR="00CE4D97" w:rsidRPr="00BB7099" w:rsidRDefault="00CE4D97" w:rsidP="00CE4D97">
      <w:pPr>
        <w:spacing w:after="0" w:line="240" w:lineRule="auto"/>
        <w:jc w:val="center"/>
        <w:rPr>
          <w:rFonts w:eastAsia="Times New Roman" w:cs="Times New Roman"/>
          <w:szCs w:val="24"/>
          <w:lang w:eastAsia="es-CO"/>
        </w:rPr>
      </w:pPr>
      <w:r w:rsidRPr="00BB7099">
        <w:rPr>
          <w:rFonts w:eastAsia="Times New Roman" w:cs="Times New Roman"/>
          <w:b/>
          <w:bCs/>
          <w:szCs w:val="24"/>
          <w:lang w:eastAsia="es-CO"/>
        </w:rPr>
        <w:t>DIAN</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b/>
          <w:bCs/>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b/>
          <w:bCs/>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Subdirección de Gestión Normativa y Doctrina</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100208221-000412</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Bogotá, D. C.</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Señor</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b/>
          <w:bCs/>
          <w:szCs w:val="24"/>
          <w:lang w:eastAsia="es-CO"/>
        </w:rPr>
        <w:t>JUAN FELIPE ACEVEDO</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Carrera 7a No 71-52 Torre A Piso 5</w:t>
      </w:r>
    </w:p>
    <w:p w:rsidR="00CE4D97" w:rsidRPr="00BB7099" w:rsidRDefault="00F925EB" w:rsidP="00CE4D97">
      <w:pPr>
        <w:spacing w:after="0" w:line="240" w:lineRule="auto"/>
        <w:jc w:val="both"/>
        <w:rPr>
          <w:rFonts w:eastAsia="Times New Roman" w:cs="Times New Roman"/>
          <w:szCs w:val="24"/>
          <w:lang w:eastAsia="es-CO"/>
        </w:rPr>
      </w:pPr>
      <w:hyperlink r:id="rId4" w:history="1">
        <w:proofErr w:type="spellStart"/>
        <w:r w:rsidR="00CE4D97" w:rsidRPr="00BB7099">
          <w:rPr>
            <w:rFonts w:eastAsia="Times New Roman" w:cs="Times New Roman"/>
            <w:szCs w:val="24"/>
            <w:lang w:eastAsia="es-CO"/>
          </w:rPr>
          <w:t>juan.acevedohill@gmail.com</w:t>
        </w:r>
        <w:proofErr w:type="spellEnd"/>
      </w:hyperlink>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Bogotá, D. C.</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b/>
          <w:bCs/>
          <w:szCs w:val="24"/>
          <w:lang w:eastAsia="es-CO"/>
        </w:rPr>
        <w:t>Referencia:</w:t>
      </w:r>
      <w:r w:rsidRPr="00BB7099">
        <w:rPr>
          <w:rFonts w:eastAsia="Times New Roman" w:cs="Times New Roman"/>
          <w:szCs w:val="24"/>
          <w:lang w:eastAsia="es-CO"/>
        </w:rPr>
        <w:t> Radicado 001983 del 10/02/2016</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b/>
          <w:bCs/>
          <w:szCs w:val="24"/>
          <w:lang w:eastAsia="es-CO"/>
        </w:rPr>
        <w:t>Tema</w:t>
      </w:r>
      <w:r w:rsidRPr="00BB7099">
        <w:rPr>
          <w:rFonts w:eastAsia="Times New Roman" w:cs="Times New Roman"/>
          <w:szCs w:val="24"/>
          <w:lang w:eastAsia="es-CO"/>
        </w:rPr>
        <w:t> Retención en la fuente</w:t>
      </w:r>
    </w:p>
    <w:p w:rsidR="00BB7099" w:rsidRDefault="00BB7099" w:rsidP="00CE4D97">
      <w:pPr>
        <w:spacing w:after="0" w:line="240" w:lineRule="auto"/>
        <w:jc w:val="both"/>
        <w:rPr>
          <w:rFonts w:eastAsia="Times New Roman" w:cs="Times New Roman"/>
          <w:b/>
          <w:bCs/>
          <w:szCs w:val="24"/>
          <w:lang w:eastAsia="es-CO"/>
        </w:rPr>
      </w:pP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b/>
          <w:bCs/>
          <w:szCs w:val="24"/>
          <w:lang w:eastAsia="es-CO"/>
        </w:rPr>
        <w:t>Descriptores</w:t>
      </w:r>
      <w:r w:rsidRPr="00BB7099">
        <w:rPr>
          <w:rFonts w:eastAsia="Times New Roman" w:cs="Times New Roman"/>
          <w:szCs w:val="24"/>
          <w:lang w:eastAsia="es-CO"/>
        </w:rPr>
        <w:t> Retención por Ahorro en las Cuentas de Ahorro para e</w:t>
      </w:r>
      <w:r w:rsidR="00BB7099">
        <w:rPr>
          <w:rFonts w:eastAsia="Times New Roman" w:cs="Times New Roman"/>
          <w:szCs w:val="24"/>
          <w:lang w:eastAsia="es-CO"/>
        </w:rPr>
        <w:t xml:space="preserve">l Fomento de la Construcción AFC. </w:t>
      </w:r>
    </w:p>
    <w:p w:rsidR="00BB7099" w:rsidRDefault="00BB7099" w:rsidP="00CE4D97">
      <w:pPr>
        <w:spacing w:after="0" w:line="240" w:lineRule="auto"/>
        <w:jc w:val="both"/>
        <w:rPr>
          <w:rFonts w:eastAsia="Times New Roman" w:cs="Times New Roman"/>
          <w:b/>
          <w:bCs/>
          <w:szCs w:val="24"/>
          <w:lang w:eastAsia="es-CO"/>
        </w:rPr>
      </w:pP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b/>
          <w:bCs/>
          <w:szCs w:val="24"/>
          <w:lang w:eastAsia="es-CO"/>
        </w:rPr>
        <w:t>Fuentes formales</w:t>
      </w:r>
      <w:r w:rsidRPr="00BB7099">
        <w:rPr>
          <w:rFonts w:eastAsia="Times New Roman" w:cs="Times New Roman"/>
          <w:szCs w:val="24"/>
          <w:lang w:eastAsia="es-CO"/>
        </w:rPr>
        <w:t> Artículo </w:t>
      </w:r>
      <w:hyperlink r:id="rId5" w:tooltip="Estatuto Tributario CETA" w:history="1">
        <w:r w:rsidRPr="00BB7099">
          <w:rPr>
            <w:rFonts w:eastAsia="Times New Roman" w:cs="Times New Roman"/>
            <w:szCs w:val="24"/>
            <w:lang w:eastAsia="es-CO"/>
          </w:rPr>
          <w:t>126-1</w:t>
        </w:r>
      </w:hyperlink>
      <w:r w:rsidRPr="00BB7099">
        <w:rPr>
          <w:rFonts w:eastAsia="Times New Roman" w:cs="Times New Roman"/>
          <w:szCs w:val="24"/>
          <w:lang w:eastAsia="es-CO"/>
        </w:rPr>
        <w:t>, </w:t>
      </w:r>
      <w:hyperlink r:id="rId6" w:tooltip="Estatuto Tributario CETA" w:history="1">
        <w:r w:rsidRPr="00BB7099">
          <w:rPr>
            <w:rFonts w:eastAsia="Times New Roman" w:cs="Times New Roman"/>
            <w:szCs w:val="24"/>
            <w:lang w:eastAsia="es-CO"/>
          </w:rPr>
          <w:t>126-4</w:t>
        </w:r>
      </w:hyperlink>
      <w:r w:rsidRPr="00BB7099">
        <w:rPr>
          <w:rFonts w:eastAsia="Times New Roman" w:cs="Times New Roman"/>
          <w:szCs w:val="24"/>
          <w:lang w:eastAsia="es-CO"/>
        </w:rPr>
        <w:t> del Estatuto Tributario. Exposición de Motivos de la Ley 1607 de 2012 con Gaceta número 666 del 5 de octubre del 2012.</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Cordial saludo señor Acevedo:</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En atención a su inquietud relacionada con el </w:t>
      </w:r>
      <w:hyperlink r:id="rId7" w:tooltip="Estatuto Tributario CETA" w:history="1">
        <w:r w:rsidRPr="00BB7099">
          <w:rPr>
            <w:rFonts w:eastAsia="Times New Roman" w:cs="Times New Roman"/>
            <w:szCs w:val="24"/>
            <w:lang w:eastAsia="es-CO"/>
          </w:rPr>
          <w:t>artículo 126-4</w:t>
        </w:r>
      </w:hyperlink>
      <w:r w:rsidRPr="00BB7099">
        <w:rPr>
          <w:rFonts w:eastAsia="Times New Roman" w:cs="Times New Roman"/>
          <w:szCs w:val="24"/>
          <w:lang w:eastAsia="es-CO"/>
        </w:rPr>
        <w:t> del Estatuto Tributario, en cuanto a si dicha norma exige que exista coincidencia entre el titular de la cuenta AFC, y el titular del crédito hipotecario para la adquisición de vivienda del trabajador, que se pretende pagar con los mismos recursos de la cuenta AFC antes mencionada por el otro, a efectos de aplicar los beneficios fiscales establecidos por las normas tributarias, teniendo en cuenta según su escrito que usted no es el titular del crédito hipotecario que viene pagando.</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Al respecto, el </w:t>
      </w:r>
      <w:hyperlink r:id="rId8" w:tooltip="Estatuto Tributario CETA" w:history="1">
        <w:r w:rsidRPr="00BB7099">
          <w:rPr>
            <w:rFonts w:eastAsia="Times New Roman" w:cs="Times New Roman"/>
            <w:szCs w:val="24"/>
            <w:lang w:eastAsia="es-CO"/>
          </w:rPr>
          <w:t>artículo 126-4</w:t>
        </w:r>
      </w:hyperlink>
      <w:r w:rsidRPr="00BB7099">
        <w:rPr>
          <w:rFonts w:eastAsia="Times New Roman" w:cs="Times New Roman"/>
          <w:szCs w:val="24"/>
          <w:lang w:eastAsia="es-CO"/>
        </w:rPr>
        <w:t> del Estatuto tributario, señala:</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 </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w:t>
      </w:r>
    </w:p>
    <w:p w:rsidR="00CE4D97" w:rsidRPr="00BB7099" w:rsidRDefault="00F925EB" w:rsidP="00CE4D97">
      <w:pPr>
        <w:spacing w:after="0" w:line="240" w:lineRule="auto"/>
        <w:ind w:left="284"/>
        <w:jc w:val="both"/>
        <w:rPr>
          <w:rFonts w:eastAsia="Times New Roman" w:cs="Times New Roman"/>
          <w:szCs w:val="24"/>
          <w:lang w:eastAsia="es-CO"/>
        </w:rPr>
      </w:pPr>
      <w:hyperlink r:id="rId9" w:tooltip="Estatuto Tributario CETA" w:history="1">
        <w:r w:rsidR="00CE4D97" w:rsidRPr="00BB7099">
          <w:rPr>
            <w:rFonts w:eastAsia="Times New Roman" w:cs="Times New Roman"/>
            <w:i/>
            <w:iCs/>
            <w:szCs w:val="24"/>
            <w:lang w:eastAsia="es-CO"/>
          </w:rPr>
          <w:t>Artículo 126-4</w:t>
        </w:r>
      </w:hyperlink>
      <w:r w:rsidR="00CE4D97" w:rsidRPr="00BB7099">
        <w:rPr>
          <w:rFonts w:eastAsia="Times New Roman" w:cs="Times New Roman"/>
          <w:i/>
          <w:iCs/>
          <w:szCs w:val="24"/>
          <w:lang w:eastAsia="es-CO"/>
        </w:rPr>
        <w:t>. Incentivo al Ahorro de largo plazo para el fomento de la construcción. Las sumas que los contribuyentes personas naturales depositen en las cuentas de ahorro denominadas “Ahorro para el Fomento a la Construcción (AFC)” </w:t>
      </w:r>
      <w:r w:rsidR="00CE4D97" w:rsidRPr="00BB7099">
        <w:rPr>
          <w:rFonts w:eastAsia="Times New Roman" w:cs="Times New Roman"/>
          <w:b/>
          <w:bCs/>
          <w:i/>
          <w:iCs/>
          <w:szCs w:val="24"/>
          <w:lang w:eastAsia="es-CO"/>
        </w:rPr>
        <w:t>a partir del 1° de enero de 2013, no formarán parte de la base de retención en la fuente del contribuyente persona natural, y tendrán el carácter de rentas exentas del impuesto sobre la renta y complementarios</w:t>
      </w:r>
      <w:r w:rsidR="00CE4D97" w:rsidRPr="00BB7099">
        <w:rPr>
          <w:rFonts w:eastAsia="Times New Roman" w:cs="Times New Roman"/>
          <w:i/>
          <w:iCs/>
          <w:szCs w:val="24"/>
          <w:lang w:eastAsia="es-CO"/>
        </w:rPr>
        <w:t>, hasta un valor que, adicionado al valor de los aportes obligatorios y voluntarios del trabajador de que trata el </w:t>
      </w:r>
      <w:hyperlink r:id="rId10" w:tooltip="Estatuto Tributario CETA" w:history="1">
        <w:r w:rsidR="00CE4D97" w:rsidRPr="00BB7099">
          <w:rPr>
            <w:rFonts w:eastAsia="Times New Roman" w:cs="Times New Roman"/>
            <w:i/>
            <w:iCs/>
            <w:szCs w:val="24"/>
            <w:lang w:eastAsia="es-CO"/>
          </w:rPr>
          <w:t>artículo 126-1</w:t>
        </w:r>
      </w:hyperlink>
      <w:r w:rsidR="00CE4D97" w:rsidRPr="00BB7099">
        <w:rPr>
          <w:rFonts w:eastAsia="Times New Roman" w:cs="Times New Roman"/>
          <w:i/>
          <w:iCs/>
          <w:szCs w:val="24"/>
          <w:lang w:eastAsia="es-CO"/>
        </w:rPr>
        <w:t xml:space="preserve"> de este Estatuto, no exceda del </w:t>
      </w:r>
      <w:r w:rsidR="00CE4D97" w:rsidRPr="00BB7099">
        <w:rPr>
          <w:rFonts w:eastAsia="Times New Roman" w:cs="Times New Roman"/>
          <w:i/>
          <w:iCs/>
          <w:szCs w:val="24"/>
          <w:lang w:eastAsia="es-CO"/>
        </w:rPr>
        <w:lastRenderedPageBreak/>
        <w:t>treinta por ciento (30%) del ingreso laboral o del ingreso tributario del año, según corresponda, y hasta un monto máximo de tres mil ochocientas (3.800) UVT por año.</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 </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Las cuentas de ahorro “AFC” deberán operar en las entidades bancarias que realicen préstamos hipotecarios. </w:t>
      </w:r>
      <w:r w:rsidRPr="00BB7099">
        <w:rPr>
          <w:rFonts w:eastAsia="Times New Roman" w:cs="Times New Roman"/>
          <w:b/>
          <w:bCs/>
          <w:i/>
          <w:iCs/>
          <w:szCs w:val="24"/>
          <w:u w:val="single"/>
          <w:lang w:eastAsia="es-CO"/>
        </w:rPr>
        <w:t>Solo se podrán realizar retiros de los recursos de las cuentas de ahorros “AFC” para la adquisición de vivienda del trabajador</w:t>
      </w:r>
      <w:r w:rsidRPr="00BB7099">
        <w:rPr>
          <w:rFonts w:eastAsia="Times New Roman" w:cs="Times New Roman"/>
          <w:i/>
          <w:iCs/>
          <w:szCs w:val="24"/>
          <w:u w:val="single"/>
          <w:lang w:eastAsia="es-CO"/>
        </w:rPr>
        <w:t>, sea o no financiada por entidades sujetas a la inspección y vigilancia de la Superintendencia Financiera de Colombia, a través de créditos hipotecarios o leasing habitacional</w:t>
      </w:r>
      <w:r w:rsidRPr="00BB7099">
        <w:rPr>
          <w:rFonts w:eastAsia="Times New Roman" w:cs="Times New Roman"/>
          <w:i/>
          <w:iCs/>
          <w:szCs w:val="24"/>
          <w:lang w:eastAsia="es-CO"/>
        </w:rPr>
        <w:t>. En el evento en que la adquisición de vivienda se realice sin financiación, previamente al retiro, </w:t>
      </w:r>
      <w:r w:rsidRPr="00BB7099">
        <w:rPr>
          <w:rFonts w:eastAsia="Times New Roman" w:cs="Times New Roman"/>
          <w:b/>
          <w:bCs/>
          <w:i/>
          <w:iCs/>
          <w:szCs w:val="24"/>
          <w:lang w:eastAsia="es-CO"/>
        </w:rPr>
        <w:t>deberá acreditarse ante la entidad financiera, con copia de la escritura de compraventa, que los recursos se destinaron a dicha adquisición. </w:t>
      </w:r>
      <w:r w:rsidRPr="00BB7099">
        <w:rPr>
          <w:rFonts w:eastAsia="Times New Roman" w:cs="Times New Roman"/>
          <w:i/>
          <w:iCs/>
          <w:szCs w:val="24"/>
          <w:u w:val="single"/>
          <w:lang w:eastAsia="es-CO"/>
        </w:rPr>
        <w:t>El retiro de los recursos para cualquier otro propósito</w:t>
      </w:r>
      <w:r w:rsidRPr="00BB7099">
        <w:rPr>
          <w:rFonts w:eastAsia="Times New Roman" w:cs="Times New Roman"/>
          <w:i/>
          <w:iCs/>
          <w:szCs w:val="24"/>
          <w:lang w:eastAsia="es-CO"/>
        </w:rPr>
        <w:t>, antes de un período mínimo de permanencia de diez (10) años contados a partir de la fecha de su consignación, implica que el trabajador pierda el beneficio y que se efectúen, por parte de la respectiva entidad financiera, las retenciones inicialmente no realizadas en el año en que se percibió el ingreso y se realizó el aporte, sin que se incremente la base gravable alternativa del Impuesto Mínimo Alternativo Nacional (IMAN). (Resaltado y subrayado fuera del texto).</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 </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Se causa retención en la fuente sobre los rendimientos que generen las cuentas de ahorro “AFC”, en el evento de que estos sean retirados sin el cumplimiento del requisito de permanencia antes señalado, de acuerdo con las normas generales de retención en la fuente sobre rendimientos financieros.</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 </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Los retiros, parciales o totales, de aportes y rendimientos, que hayan cumplido los requisitos de permanencia establecidos en el segundo inciso o que se destinen para los fines previstos en el presente artículo, continúan sin gravamen y no integran la base gravable del Impuesto Mínimo Alternativo Nacional (IMAN).</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 </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u w:val="single"/>
          <w:lang w:eastAsia="es-CO"/>
        </w:rPr>
        <w:t>Los recursos captados a través de las cuentas de ahorro “AFC”, </w:t>
      </w:r>
      <w:r w:rsidRPr="00BB7099">
        <w:rPr>
          <w:rFonts w:eastAsia="Times New Roman" w:cs="Times New Roman"/>
          <w:b/>
          <w:bCs/>
          <w:i/>
          <w:iCs/>
          <w:szCs w:val="24"/>
          <w:u w:val="single"/>
          <w:lang w:eastAsia="es-CO"/>
        </w:rPr>
        <w:t>únicamente podrán ser destinados a financiar créditos hipotecarios </w:t>
      </w:r>
      <w:r w:rsidRPr="00BB7099">
        <w:rPr>
          <w:rFonts w:eastAsia="Times New Roman" w:cs="Times New Roman"/>
          <w:i/>
          <w:iCs/>
          <w:szCs w:val="24"/>
          <w:u w:val="single"/>
          <w:lang w:eastAsia="es-CO"/>
        </w:rPr>
        <w:t>o a la inversión en titularización de cartera originada en adquisición de vivienda</w:t>
      </w:r>
      <w:r w:rsidRPr="00BB7099">
        <w:rPr>
          <w:rFonts w:eastAsia="Times New Roman" w:cs="Times New Roman"/>
          <w:i/>
          <w:iCs/>
          <w:szCs w:val="24"/>
          <w:lang w:eastAsia="es-CO"/>
        </w:rPr>
        <w:t>.</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szCs w:val="24"/>
          <w:lang w:eastAsia="es-CO"/>
        </w:rPr>
        <w:t>(…) Subrayado y negrilla fuera del texto.</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De otra parte, la Exposición de Motivos de la Ley 1607 de 2012 en la Gaceta número 666 del 5 de octubre del 2012, página 45, señala:</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 </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En aras de cumplir el objetivo propuesto, se modifica la naturaleza jurídico tributaria del beneficio aplicable a los aportes voluntarios que hagan los trabajadores a los fondos de pensiones y a </w:t>
      </w:r>
      <w:r w:rsidRPr="00BB7099">
        <w:rPr>
          <w:rFonts w:eastAsia="Times New Roman" w:cs="Times New Roman"/>
          <w:b/>
          <w:bCs/>
          <w:i/>
          <w:iCs/>
          <w:szCs w:val="24"/>
          <w:lang w:eastAsia="es-CO"/>
        </w:rPr>
        <w:t>las cuentas AFC</w:t>
      </w:r>
      <w:r w:rsidRPr="00BB7099">
        <w:rPr>
          <w:rFonts w:eastAsia="Times New Roman" w:cs="Times New Roman"/>
          <w:i/>
          <w:iCs/>
          <w:szCs w:val="24"/>
          <w:lang w:eastAsia="es-CO"/>
        </w:rPr>
        <w:t>, al considerarse como rentas exentas y no como ingresos no constitutivos de renta o ganancia ocasional, teniendo en cuenta que el incentivo al ahorro del </w:t>
      </w:r>
      <w:hyperlink r:id="rId11" w:tooltip="Estatuto Tributario CETA" w:history="1">
        <w:r w:rsidRPr="00BB7099">
          <w:rPr>
            <w:rFonts w:eastAsia="Times New Roman" w:cs="Times New Roman"/>
            <w:i/>
            <w:iCs/>
            <w:szCs w:val="24"/>
            <w:lang w:eastAsia="es-CO"/>
          </w:rPr>
          <w:t>artículo 126-1</w:t>
        </w:r>
      </w:hyperlink>
      <w:r w:rsidRPr="00BB7099">
        <w:rPr>
          <w:rFonts w:eastAsia="Times New Roman" w:cs="Times New Roman"/>
          <w:i/>
          <w:iCs/>
          <w:szCs w:val="24"/>
          <w:lang w:eastAsia="es-CO"/>
        </w:rPr>
        <w:t> del Estatuto Tributario, corresponde en realidad a ingresos que incrementan el patrimonio del contribuyente, </w:t>
      </w:r>
      <w:r w:rsidRPr="00BB7099">
        <w:rPr>
          <w:rFonts w:eastAsia="Times New Roman" w:cs="Times New Roman"/>
          <w:b/>
          <w:bCs/>
          <w:i/>
          <w:iCs/>
          <w:szCs w:val="24"/>
          <w:u w:val="single"/>
          <w:lang w:eastAsia="es-CO"/>
        </w:rPr>
        <w:t>pero que se exoneran del impuesto sobre la renta al cumplir requisitos de permanencia y destinación específica.</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 </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 [Para el caso de la AFC, los fondos ahorrados solo se podrán destinar a la adquisición de vivienda para poder gozar del beneficio).</w:t>
      </w:r>
    </w:p>
    <w:p w:rsidR="00CE4D97" w:rsidRPr="00BB7099" w:rsidRDefault="00CE4D97" w:rsidP="00CE4D97">
      <w:pPr>
        <w:spacing w:after="0" w:line="240" w:lineRule="auto"/>
        <w:ind w:left="284"/>
        <w:jc w:val="both"/>
        <w:rPr>
          <w:rFonts w:eastAsia="Times New Roman" w:cs="Times New Roman"/>
          <w:szCs w:val="24"/>
          <w:lang w:eastAsia="es-CO"/>
        </w:rPr>
      </w:pPr>
      <w:r w:rsidRPr="00BB7099">
        <w:rPr>
          <w:rFonts w:eastAsia="Times New Roman" w:cs="Times New Roman"/>
          <w:i/>
          <w:iCs/>
          <w:szCs w:val="24"/>
          <w:lang w:eastAsia="es-CO"/>
        </w:rPr>
        <w:t>(…) Subrayado y negrilla fuera del texto.</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En efecto, tal como se observa en las normas transcritas, el incentivo al ahorro de largo plazo para el fomento de la construcción, de que trata el</w:t>
      </w:r>
      <w:r w:rsidR="00A73ABB">
        <w:rPr>
          <w:rFonts w:eastAsia="Times New Roman" w:cs="Times New Roman"/>
          <w:szCs w:val="24"/>
          <w:lang w:eastAsia="es-CO"/>
        </w:rPr>
        <w:t xml:space="preserve"> </w:t>
      </w:r>
      <w:hyperlink r:id="rId12" w:tooltip="Estatuto Tributario CETA" w:history="1">
        <w:r w:rsidRPr="00BB7099">
          <w:rPr>
            <w:rFonts w:eastAsia="Times New Roman" w:cs="Times New Roman"/>
            <w:szCs w:val="24"/>
            <w:lang w:eastAsia="es-CO"/>
          </w:rPr>
          <w:t>artículo 126-4</w:t>
        </w:r>
      </w:hyperlink>
      <w:r w:rsidRPr="00BB7099">
        <w:rPr>
          <w:rFonts w:eastAsia="Times New Roman" w:cs="Times New Roman"/>
          <w:szCs w:val="24"/>
          <w:lang w:eastAsia="es-CO"/>
        </w:rPr>
        <w:t> del Estatuto Tributario, está dado en la medida en que los retiros efectuados de las cuentas de ahorros “AFC” estén destinados para la adquisición </w:t>
      </w:r>
      <w:r w:rsidRPr="00BB7099">
        <w:rPr>
          <w:rFonts w:eastAsia="Times New Roman" w:cs="Times New Roman"/>
          <w:szCs w:val="24"/>
          <w:u w:val="single"/>
          <w:lang w:eastAsia="es-CO"/>
        </w:rPr>
        <w:t>de vivienda del trabajador</w:t>
      </w:r>
      <w:r w:rsidRPr="00BB7099">
        <w:rPr>
          <w:rFonts w:eastAsia="Times New Roman" w:cs="Times New Roman"/>
          <w:szCs w:val="24"/>
          <w:lang w:eastAsia="es-CO"/>
        </w:rPr>
        <w:t>, debiendo acreditar ante la entidad financiera, con la respectiva copia de compraventa del inmueble, que los recursos tienen como destino dicha adquisición.</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lastRenderedPageBreak/>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Lo anterior, en el entendido que la aplicación de la norma de manera implícita, hace que quien debe figurar en la respectiva promesa o contrato de compraventa de la vivienda, sea el trabajador titular de la cuenta de ahorros AFC, quien adquiere o ha adquirido el inmueble con el propósito de su vivienda, siendo objeto del beneficio tributario el trabajador adquirente de su propia vivienda y no un tercero. Asimismo, cabe recordar que los beneficios tributarios dados por el legislador son de carácter restrictivo sin poderse otorgar por vía de interpretación a sujetos no contemplados en la ley.</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En consecuencia, dentro de la hipótesis planteada por usted, el utilizar los recursos de una cuenta de ahorros AFC para pagar cuotas de crédito hipotecario de un tercero diferente al trabajador titular de la misma, no genera el beneficio previsto en el </w:t>
      </w:r>
      <w:hyperlink r:id="rId13" w:tooltip="Estatuto Tributario CETA" w:history="1">
        <w:r w:rsidRPr="00BB7099">
          <w:rPr>
            <w:rFonts w:eastAsia="Times New Roman" w:cs="Times New Roman"/>
            <w:szCs w:val="24"/>
            <w:lang w:eastAsia="es-CO"/>
          </w:rPr>
          <w:t>artículo 126-4</w:t>
        </w:r>
      </w:hyperlink>
      <w:r w:rsidRPr="00BB7099">
        <w:rPr>
          <w:rFonts w:eastAsia="Times New Roman" w:cs="Times New Roman"/>
          <w:szCs w:val="24"/>
          <w:lang w:eastAsia="es-CO"/>
        </w:rPr>
        <w:t> de la norma ibídem.</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Atentamente,</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szCs w:val="24"/>
          <w:lang w:eastAsia="es-CO"/>
        </w:rPr>
        <w:t> </w:t>
      </w:r>
    </w:p>
    <w:p w:rsidR="00CE4D97" w:rsidRPr="00BB7099" w:rsidRDefault="00CE4D97" w:rsidP="00CE4D97">
      <w:pPr>
        <w:spacing w:after="0" w:line="240" w:lineRule="auto"/>
        <w:jc w:val="both"/>
        <w:rPr>
          <w:rFonts w:eastAsia="Times New Roman" w:cs="Times New Roman"/>
          <w:szCs w:val="24"/>
          <w:lang w:eastAsia="es-CO"/>
        </w:rPr>
      </w:pPr>
      <w:r w:rsidRPr="00BB7099">
        <w:rPr>
          <w:rFonts w:eastAsia="Times New Roman" w:cs="Times New Roman"/>
          <w:b/>
          <w:bCs/>
          <w:szCs w:val="24"/>
          <w:lang w:eastAsia="es-CO"/>
        </w:rPr>
        <w:t>El Subdirector de Gestión Normativa y Doctrina,</w:t>
      </w:r>
    </w:p>
    <w:p w:rsidR="00CE4D97" w:rsidRPr="00BB7099" w:rsidRDefault="00CE4D97" w:rsidP="00A73ABB">
      <w:pPr>
        <w:spacing w:after="0" w:line="240" w:lineRule="auto"/>
        <w:rPr>
          <w:rFonts w:eastAsia="Times New Roman" w:cs="Times New Roman"/>
          <w:szCs w:val="24"/>
          <w:lang w:eastAsia="es-CO"/>
        </w:rPr>
      </w:pPr>
      <w:r w:rsidRPr="00BB7099">
        <w:rPr>
          <w:rFonts w:eastAsia="Times New Roman" w:cs="Times New Roman"/>
          <w:i/>
          <w:iCs/>
          <w:szCs w:val="24"/>
          <w:lang w:eastAsia="es-CO"/>
        </w:rPr>
        <w:t>Pedro Pablo Contreras Camargo.</w:t>
      </w:r>
    </w:p>
    <w:p w:rsidR="00CE4D97" w:rsidRDefault="00CE4D97" w:rsidP="00CE4D97">
      <w:pPr>
        <w:spacing w:after="0" w:line="240" w:lineRule="auto"/>
        <w:jc w:val="both"/>
        <w:rPr>
          <w:rFonts w:eastAsia="Times New Roman" w:cs="Times New Roman"/>
          <w:b/>
          <w:bCs/>
          <w:szCs w:val="24"/>
          <w:lang w:eastAsia="es-CO"/>
        </w:rPr>
      </w:pPr>
      <w:r w:rsidRPr="00BB7099">
        <w:rPr>
          <w:rFonts w:eastAsia="Times New Roman" w:cs="Times New Roman"/>
          <w:b/>
          <w:bCs/>
          <w:szCs w:val="24"/>
          <w:lang w:eastAsia="es-CO"/>
        </w:rPr>
        <w:t>Publicado en D.O. 49.903 del 13 de junio de 2016.</w:t>
      </w:r>
    </w:p>
    <w:p w:rsidR="00A73ABB" w:rsidRPr="00BB7099" w:rsidRDefault="00A73ABB" w:rsidP="00CE4D97">
      <w:pPr>
        <w:spacing w:after="0" w:line="240" w:lineRule="auto"/>
        <w:jc w:val="both"/>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rsidR="00961BFA" w:rsidRPr="00BB7099" w:rsidRDefault="00961BFA">
      <w:pPr>
        <w:rPr>
          <w:rFonts w:cs="Times New Roman"/>
          <w:szCs w:val="24"/>
        </w:rPr>
      </w:pPr>
    </w:p>
    <w:sectPr w:rsidR="00961BFA" w:rsidRPr="00BB709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97"/>
    <w:rsid w:val="0029351E"/>
    <w:rsid w:val="00961BFA"/>
    <w:rsid w:val="00A73ABB"/>
    <w:rsid w:val="00B94BED"/>
    <w:rsid w:val="00BB7099"/>
    <w:rsid w:val="00CE4D97"/>
    <w:rsid w:val="00E3651C"/>
    <w:rsid w:val="00F925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DD080-C026-480B-81BA-D47A6CDD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86" TargetMode="External"/><Relationship Id="rId13" Type="http://schemas.openxmlformats.org/officeDocument/2006/relationships/hyperlink" Target="http://www.ceta.org.co/html/vista_de_un_articulo.asp?Norma=186"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86" TargetMode="External"/><Relationship Id="rId12" Type="http://schemas.openxmlformats.org/officeDocument/2006/relationships/hyperlink" Target="http://www.ceta.org.co/html/vista_de_un_articulo.asp?Norma=1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86" TargetMode="External"/><Relationship Id="rId11" Type="http://schemas.openxmlformats.org/officeDocument/2006/relationships/hyperlink" Target="http://www.ceta.org.co/html/vista_de_un_articulo.asp?Norma=183" TargetMode="External"/><Relationship Id="rId5" Type="http://schemas.openxmlformats.org/officeDocument/2006/relationships/hyperlink" Target="http://www.ceta.org.co/html/vista_de_un_articulo.asp?Norma=183" TargetMode="External"/><Relationship Id="rId15" Type="http://schemas.openxmlformats.org/officeDocument/2006/relationships/theme" Target="theme/theme1.xml"/><Relationship Id="rId10" Type="http://schemas.openxmlformats.org/officeDocument/2006/relationships/hyperlink" Target="http://www.ceta.org.co/html/vista_de_un_articulo.asp?Norma=183" TargetMode="External"/><Relationship Id="rId4" Type="http://schemas.openxmlformats.org/officeDocument/2006/relationships/hyperlink" Target="mailto:juan.acevedohill@gmail.com" TargetMode="External"/><Relationship Id="rId9" Type="http://schemas.openxmlformats.org/officeDocument/2006/relationships/hyperlink" Target="http://www.ceta.org.co/html/vista_de_un_articulo.asp?Norma=186"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1220</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2016-06-18T19:29:00Z</dcterms:created>
  <dcterms:modified xsi:type="dcterms:W3CDTF">2016-06-20T01:12:00Z</dcterms:modified>
</cp:coreProperties>
</file>